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FDD629">
      <w:pPr>
        <w:spacing w:line="360" w:lineRule="auto"/>
        <w:jc w:val="center"/>
        <w:outlineLvl w:val="0"/>
        <w:rPr>
          <w:rFonts w:hint="eastAsia" w:ascii="仿宋_GB2312" w:hAnsi="仿宋_GB2312" w:eastAsia="仿宋_GB2312" w:cs="仿宋_GB2312"/>
          <w:b/>
          <w:sz w:val="32"/>
          <w:szCs w:val="32"/>
          <w:highlight w:val="none"/>
        </w:rPr>
      </w:pPr>
      <w:bookmarkStart w:id="0" w:name="_Toc99301424"/>
      <w:r>
        <w:rPr>
          <w:rFonts w:hint="eastAsia" w:ascii="仿宋_GB2312" w:hAnsi="仿宋_GB2312" w:eastAsia="仿宋_GB2312" w:cs="仿宋_GB2312"/>
          <w:b/>
          <w:sz w:val="32"/>
          <w:szCs w:val="32"/>
          <w:highlight w:val="none"/>
        </w:rPr>
        <w:t>采购需求</w:t>
      </w:r>
      <w:bookmarkEnd w:id="0"/>
    </w:p>
    <w:p w14:paraId="00C6908B">
      <w:pPr>
        <w:rPr>
          <w:rFonts w:hint="eastAsia" w:ascii="仿宋_GB2312" w:hAnsi="仿宋_GB2312" w:eastAsia="仿宋_GB2312" w:cs="仿宋_GB2312"/>
          <w:b/>
          <w:bCs/>
          <w:sz w:val="32"/>
          <w:szCs w:val="32"/>
          <w:highlight w:val="none"/>
        </w:rPr>
      </w:pPr>
    </w:p>
    <w:p w14:paraId="6CD1386A">
      <w:pPr>
        <w:keepNext w:val="0"/>
        <w:keepLines w:val="0"/>
        <w:pageBreakBefore w:val="0"/>
        <w:wordWrap/>
        <w:overflowPunct/>
        <w:topLinePunct w:val="0"/>
        <w:bidi w:val="0"/>
        <w:adjustRightInd/>
        <w:spacing w:line="360" w:lineRule="auto"/>
        <w:ind w:right="0" w:rightChars="0" w:firstLine="640" w:firstLineChars="200"/>
        <w:contextualSpacing/>
        <w:jc w:val="both"/>
        <w:textAlignment w:val="auto"/>
        <w:outlineLvl w:val="9"/>
        <w:rPr>
          <w:rFonts w:hint="eastAsia" w:ascii="仿宋_GB2312" w:hAnsi="仿宋_GB2312" w:eastAsia="仿宋_GB2312" w:cs="仿宋_GB2312"/>
          <w:b w:val="0"/>
          <w:bCs/>
          <w:color w:val="auto"/>
          <w:sz w:val="32"/>
          <w:szCs w:val="32"/>
          <w:highlight w:val="none"/>
        </w:rPr>
      </w:pPr>
      <w:r>
        <w:rPr>
          <w:rFonts w:hint="eastAsia" w:ascii="仿宋_GB2312" w:hAnsi="仿宋_GB2312" w:eastAsia="仿宋_GB2312" w:cs="仿宋_GB2312"/>
          <w:b w:val="0"/>
          <w:bCs/>
          <w:color w:val="auto"/>
          <w:sz w:val="32"/>
          <w:szCs w:val="32"/>
          <w:highlight w:val="none"/>
          <w:lang w:val="en-US" w:eastAsia="zh-CN"/>
        </w:rPr>
        <w:t>一、</w:t>
      </w:r>
      <w:r>
        <w:rPr>
          <w:rFonts w:hint="eastAsia" w:ascii="仿宋_GB2312" w:hAnsi="仿宋_GB2312" w:eastAsia="仿宋_GB2312" w:cs="仿宋_GB2312"/>
          <w:b w:val="0"/>
          <w:bCs/>
          <w:color w:val="auto"/>
          <w:sz w:val="32"/>
          <w:szCs w:val="32"/>
          <w:highlight w:val="none"/>
        </w:rPr>
        <w:t>项目背景</w:t>
      </w:r>
    </w:p>
    <w:p w14:paraId="74B96523">
      <w:pPr>
        <w:keepNext w:val="0"/>
        <w:keepLines w:val="0"/>
        <w:pageBreakBefore w:val="0"/>
        <w:widowControl/>
        <w:kinsoku w:val="0"/>
        <w:wordWrap/>
        <w:overflowPunct/>
        <w:topLinePunct w:val="0"/>
        <w:autoSpaceDE w:val="0"/>
        <w:autoSpaceDN w:val="0"/>
        <w:bidi w:val="0"/>
        <w:adjustRightInd/>
        <w:snapToGrid w:val="0"/>
        <w:spacing w:line="360" w:lineRule="auto"/>
        <w:ind w:right="0" w:rightChars="0" w:firstLine="640" w:firstLineChars="200"/>
        <w:jc w:val="both"/>
        <w:textAlignment w:val="auto"/>
        <w:outlineLvl w:val="9"/>
        <w:rPr>
          <w:rFonts w:hint="eastAsia" w:ascii="仿宋_GB2312" w:hAnsi="仿宋_GB2312" w:eastAsia="仿宋_GB2312" w:cs="仿宋_GB2312"/>
          <w:b w:val="0"/>
          <w:bCs/>
          <w:color w:val="auto"/>
          <w:sz w:val="32"/>
          <w:szCs w:val="32"/>
          <w:highlight w:val="none"/>
          <w:lang w:val="en-US" w:eastAsia="zh-CN"/>
        </w:rPr>
      </w:pPr>
      <w:r>
        <w:rPr>
          <w:rFonts w:hint="eastAsia" w:ascii="仿宋_GB2312" w:hAnsi="仿宋_GB2312" w:eastAsia="仿宋_GB2312" w:cs="仿宋_GB2312"/>
          <w:b w:val="0"/>
          <w:bCs/>
          <w:color w:val="auto"/>
          <w:sz w:val="32"/>
          <w:szCs w:val="32"/>
          <w:highlight w:val="none"/>
          <w:lang w:val="en-US" w:eastAsia="zh-CN"/>
        </w:rPr>
        <w:t>北京市卫生健康人力资源发展中心是北京市卫生健康委直属公益二类事业单位，承担北京市卫生行业职称考试评审、卫生人事代理、卫生事业单位招聘、人才交流开发等工作任务。中心主要办公地点位于北京市西直门内</w:t>
      </w:r>
      <w:bookmarkStart w:id="1" w:name="_GoBack"/>
      <w:bookmarkEnd w:id="1"/>
      <w:r>
        <w:rPr>
          <w:rFonts w:hint="eastAsia" w:ascii="仿宋_GB2312" w:hAnsi="仿宋_GB2312" w:eastAsia="仿宋_GB2312" w:cs="仿宋_GB2312"/>
          <w:b w:val="0"/>
          <w:bCs/>
          <w:color w:val="auto"/>
          <w:sz w:val="32"/>
          <w:szCs w:val="32"/>
          <w:highlight w:val="none"/>
          <w:lang w:val="en-US" w:eastAsia="zh-CN"/>
        </w:rPr>
        <w:t>大街118号冠华大厦副楼，需要与部署于北京市政务云的业务信息系统上传和下载大量业务数据，互联网接入线路的性能和稳定性直接影响到业务工作正常开展，需要互联网接入单位提供稳定可靠的接入线路和保障服务。</w:t>
      </w:r>
    </w:p>
    <w:p w14:paraId="1DAD04EA">
      <w:pPr>
        <w:keepNext w:val="0"/>
        <w:keepLines w:val="0"/>
        <w:pageBreakBefore w:val="0"/>
        <w:widowControl/>
        <w:numPr>
          <w:ilvl w:val="0"/>
          <w:numId w:val="1"/>
        </w:numPr>
        <w:kinsoku w:val="0"/>
        <w:wordWrap/>
        <w:overflowPunct/>
        <w:topLinePunct w:val="0"/>
        <w:autoSpaceDE w:val="0"/>
        <w:autoSpaceDN w:val="0"/>
        <w:bidi w:val="0"/>
        <w:adjustRightInd/>
        <w:snapToGrid w:val="0"/>
        <w:spacing w:line="360" w:lineRule="auto"/>
        <w:ind w:right="0" w:rightChars="0" w:firstLine="640" w:firstLineChars="200"/>
        <w:jc w:val="both"/>
        <w:textAlignment w:val="auto"/>
        <w:outlineLvl w:val="9"/>
        <w:rPr>
          <w:rFonts w:hint="eastAsia" w:ascii="仿宋_GB2312" w:hAnsi="仿宋_GB2312" w:eastAsia="仿宋_GB2312" w:cs="仿宋_GB2312"/>
          <w:b w:val="0"/>
          <w:bCs/>
          <w:color w:val="auto"/>
          <w:kern w:val="2"/>
          <w:sz w:val="32"/>
          <w:szCs w:val="32"/>
          <w:highlight w:val="none"/>
          <w:lang w:val="en-US" w:eastAsia="zh-CN" w:bidi="ar-SA"/>
        </w:rPr>
      </w:pPr>
      <w:r>
        <w:rPr>
          <w:rFonts w:hint="eastAsia" w:ascii="仿宋_GB2312" w:hAnsi="仿宋_GB2312" w:eastAsia="仿宋_GB2312" w:cs="仿宋_GB2312"/>
          <w:b w:val="0"/>
          <w:bCs/>
          <w:color w:val="auto"/>
          <w:kern w:val="2"/>
          <w:sz w:val="32"/>
          <w:szCs w:val="32"/>
          <w:highlight w:val="none"/>
          <w:lang w:val="en-US" w:eastAsia="zh-CN" w:bidi="ar-SA"/>
        </w:rPr>
        <w:t>采购内容和要求</w:t>
      </w:r>
    </w:p>
    <w:p w14:paraId="65DBC2C1">
      <w:pPr>
        <w:keepNext w:val="0"/>
        <w:keepLines w:val="0"/>
        <w:pageBreakBefore w:val="0"/>
        <w:widowControl/>
        <w:numPr>
          <w:ilvl w:val="0"/>
          <w:numId w:val="2"/>
        </w:numPr>
        <w:kinsoku w:val="0"/>
        <w:wordWrap/>
        <w:overflowPunct/>
        <w:topLinePunct w:val="0"/>
        <w:autoSpaceDE w:val="0"/>
        <w:autoSpaceDN w:val="0"/>
        <w:bidi w:val="0"/>
        <w:adjustRightInd/>
        <w:snapToGrid w:val="0"/>
        <w:spacing w:line="360" w:lineRule="auto"/>
        <w:ind w:left="0" w:leftChars="0" w:right="0" w:rightChars="0" w:firstLine="640" w:firstLineChars="200"/>
        <w:jc w:val="both"/>
        <w:textAlignment w:val="auto"/>
        <w:outlineLvl w:val="9"/>
        <w:rPr>
          <w:rFonts w:hint="eastAsia" w:ascii="仿宋_GB2312" w:hAnsi="仿宋_GB2312" w:eastAsia="仿宋_GB2312" w:cs="仿宋_GB2312"/>
          <w:b w:val="0"/>
          <w:bCs/>
          <w:color w:val="auto"/>
          <w:kern w:val="2"/>
          <w:sz w:val="32"/>
          <w:szCs w:val="32"/>
          <w:highlight w:val="none"/>
          <w:lang w:val="en-US" w:eastAsia="zh-CN" w:bidi="ar-SA"/>
        </w:rPr>
      </w:pPr>
      <w:r>
        <w:rPr>
          <w:rFonts w:hint="eastAsia" w:ascii="仿宋_GB2312" w:hAnsi="仿宋_GB2312" w:eastAsia="仿宋_GB2312" w:cs="仿宋_GB2312"/>
          <w:b w:val="0"/>
          <w:bCs/>
          <w:color w:val="auto"/>
          <w:kern w:val="2"/>
          <w:sz w:val="32"/>
          <w:szCs w:val="32"/>
          <w:highlight w:val="none"/>
          <w:lang w:val="en-US" w:eastAsia="zh-CN" w:bidi="ar-SA"/>
        </w:rPr>
        <w:t>采购内容</w:t>
      </w:r>
    </w:p>
    <w:p w14:paraId="22370434">
      <w:pPr>
        <w:keepNext w:val="0"/>
        <w:keepLines w:val="0"/>
        <w:pageBreakBefore w:val="0"/>
        <w:widowControl/>
        <w:numPr>
          <w:ilvl w:val="0"/>
          <w:numId w:val="0"/>
        </w:numPr>
        <w:kinsoku w:val="0"/>
        <w:wordWrap/>
        <w:overflowPunct/>
        <w:topLinePunct w:val="0"/>
        <w:autoSpaceDE w:val="0"/>
        <w:autoSpaceDN w:val="0"/>
        <w:bidi w:val="0"/>
        <w:adjustRightInd/>
        <w:snapToGrid w:val="0"/>
        <w:spacing w:line="360" w:lineRule="auto"/>
        <w:ind w:left="0" w:leftChars="0" w:right="0" w:rightChars="0" w:firstLine="640" w:firstLineChars="200"/>
        <w:jc w:val="both"/>
        <w:textAlignment w:val="auto"/>
        <w:outlineLvl w:val="9"/>
        <w:rPr>
          <w:rFonts w:hint="eastAsia" w:ascii="仿宋_GB2312" w:hAnsi="仿宋_GB2312" w:eastAsia="仿宋_GB2312" w:cs="仿宋_GB2312"/>
          <w:b w:val="0"/>
          <w:bCs/>
          <w:color w:val="auto"/>
          <w:kern w:val="2"/>
          <w:sz w:val="32"/>
          <w:szCs w:val="32"/>
          <w:highlight w:val="none"/>
          <w:lang w:val="en-US" w:eastAsia="zh-CN" w:bidi="ar-SA"/>
        </w:rPr>
      </w:pPr>
      <w:r>
        <w:rPr>
          <w:rFonts w:hint="eastAsia" w:ascii="仿宋_GB2312" w:hAnsi="仿宋_GB2312" w:eastAsia="仿宋_GB2312" w:cs="仿宋_GB2312"/>
          <w:b w:val="0"/>
          <w:bCs/>
          <w:color w:val="auto"/>
          <w:kern w:val="2"/>
          <w:sz w:val="32"/>
          <w:szCs w:val="32"/>
          <w:highlight w:val="none"/>
          <w:lang w:val="en-US" w:eastAsia="zh-CN" w:bidi="ar-SA"/>
        </w:rPr>
        <w:t>100M线路1条，预算资金30万元。</w:t>
      </w:r>
    </w:p>
    <w:p w14:paraId="6A3324AB">
      <w:pPr>
        <w:keepNext w:val="0"/>
        <w:keepLines w:val="0"/>
        <w:pageBreakBefore w:val="0"/>
        <w:widowControl/>
        <w:numPr>
          <w:ilvl w:val="0"/>
          <w:numId w:val="0"/>
        </w:numPr>
        <w:kinsoku w:val="0"/>
        <w:wordWrap/>
        <w:overflowPunct/>
        <w:topLinePunct w:val="0"/>
        <w:autoSpaceDE w:val="0"/>
        <w:autoSpaceDN w:val="0"/>
        <w:bidi w:val="0"/>
        <w:adjustRightInd/>
        <w:snapToGrid w:val="0"/>
        <w:spacing w:line="360" w:lineRule="auto"/>
        <w:ind w:left="0" w:leftChars="0" w:right="0" w:rightChars="0" w:firstLine="640" w:firstLineChars="200"/>
        <w:jc w:val="both"/>
        <w:textAlignment w:val="auto"/>
        <w:outlineLvl w:val="9"/>
        <w:rPr>
          <w:rFonts w:hint="eastAsia" w:ascii="仿宋_GB2312" w:hAnsi="仿宋_GB2312" w:eastAsia="仿宋_GB2312" w:cs="仿宋_GB2312"/>
          <w:b w:val="0"/>
          <w:bCs/>
          <w:color w:val="auto"/>
          <w:kern w:val="2"/>
          <w:sz w:val="32"/>
          <w:szCs w:val="32"/>
          <w:highlight w:val="none"/>
          <w:lang w:val="en-US" w:eastAsia="zh-CN" w:bidi="ar-SA"/>
        </w:rPr>
      </w:pPr>
      <w:r>
        <w:rPr>
          <w:rFonts w:hint="eastAsia" w:ascii="仿宋_GB2312" w:hAnsi="仿宋_GB2312" w:eastAsia="仿宋_GB2312" w:cs="仿宋_GB2312"/>
          <w:b w:val="0"/>
          <w:bCs/>
          <w:color w:val="auto"/>
          <w:kern w:val="2"/>
          <w:sz w:val="32"/>
          <w:szCs w:val="32"/>
          <w:highlight w:val="none"/>
          <w:lang w:val="en-US" w:eastAsia="zh-CN" w:bidi="ar-SA"/>
        </w:rPr>
        <w:t>20M线路1条，预算资金6.726万元。</w:t>
      </w:r>
    </w:p>
    <w:p w14:paraId="194C95DD">
      <w:pPr>
        <w:keepNext w:val="0"/>
        <w:keepLines w:val="0"/>
        <w:pageBreakBefore w:val="0"/>
        <w:wordWrap/>
        <w:overflowPunct/>
        <w:topLinePunct w:val="0"/>
        <w:bidi w:val="0"/>
        <w:adjustRightInd/>
        <w:ind w:right="0" w:rightChars="0" w:firstLine="640" w:firstLineChars="200"/>
        <w:jc w:val="both"/>
        <w:textAlignment w:val="auto"/>
        <w:outlineLvl w:val="9"/>
        <w:rPr>
          <w:rFonts w:hint="eastAsia" w:ascii="仿宋_GB2312" w:hAnsi="仿宋_GB2312" w:eastAsia="仿宋_GB2312" w:cs="仿宋_GB2312"/>
          <w:b w:val="0"/>
          <w:bCs/>
          <w:color w:val="auto"/>
          <w:sz w:val="32"/>
          <w:szCs w:val="32"/>
          <w:highlight w:val="none"/>
        </w:rPr>
      </w:pPr>
      <w:r>
        <w:rPr>
          <w:rFonts w:hint="eastAsia" w:ascii="仿宋_GB2312" w:hAnsi="仿宋_GB2312" w:eastAsia="仿宋_GB2312" w:cs="仿宋_GB2312"/>
          <w:b w:val="0"/>
          <w:bCs/>
          <w:color w:val="auto"/>
          <w:sz w:val="32"/>
          <w:szCs w:val="32"/>
          <w:highlight w:val="none"/>
          <w:lang w:val="en-US" w:eastAsia="zh-CN"/>
        </w:rPr>
        <w:t>2.接入</w:t>
      </w:r>
      <w:r>
        <w:rPr>
          <w:rFonts w:hint="eastAsia" w:ascii="仿宋_GB2312" w:hAnsi="仿宋_GB2312" w:eastAsia="仿宋_GB2312" w:cs="仿宋_GB2312"/>
          <w:b w:val="0"/>
          <w:bCs/>
          <w:color w:val="auto"/>
          <w:sz w:val="32"/>
          <w:szCs w:val="32"/>
          <w:highlight w:val="none"/>
        </w:rPr>
        <w:t>地点</w:t>
      </w:r>
      <w:r>
        <w:rPr>
          <w:rFonts w:hint="eastAsia" w:ascii="仿宋_GB2312" w:hAnsi="仿宋_GB2312" w:eastAsia="仿宋_GB2312" w:cs="仿宋_GB2312"/>
          <w:b w:val="0"/>
          <w:bCs/>
          <w:color w:val="auto"/>
          <w:sz w:val="32"/>
          <w:szCs w:val="32"/>
          <w:highlight w:val="none"/>
          <w:lang w:val="en-US" w:eastAsia="zh-CN"/>
        </w:rPr>
        <w:t>和</w:t>
      </w:r>
      <w:r>
        <w:rPr>
          <w:rFonts w:hint="eastAsia" w:ascii="仿宋_GB2312" w:hAnsi="仿宋_GB2312" w:eastAsia="仿宋_GB2312" w:cs="仿宋_GB2312"/>
          <w:b w:val="0"/>
          <w:bCs/>
          <w:color w:val="auto"/>
          <w:sz w:val="32"/>
          <w:szCs w:val="32"/>
          <w:highlight w:val="none"/>
        </w:rPr>
        <w:t>服务期限</w:t>
      </w:r>
    </w:p>
    <w:p w14:paraId="3828739C">
      <w:pPr>
        <w:keepNext w:val="0"/>
        <w:keepLines w:val="0"/>
        <w:pageBreakBefore w:val="0"/>
        <w:wordWrap/>
        <w:overflowPunct/>
        <w:topLinePunct w:val="0"/>
        <w:bidi w:val="0"/>
        <w:adjustRightInd/>
        <w:spacing w:line="360" w:lineRule="auto"/>
        <w:ind w:right="0" w:rightChars="0" w:firstLine="640" w:firstLineChars="200"/>
        <w:jc w:val="both"/>
        <w:textAlignment w:val="auto"/>
        <w:outlineLvl w:val="9"/>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服务期限：1年。</w:t>
      </w:r>
    </w:p>
    <w:p w14:paraId="55E70400">
      <w:pPr>
        <w:keepNext w:val="0"/>
        <w:keepLines w:val="0"/>
        <w:pageBreakBefore w:val="0"/>
        <w:wordWrap/>
        <w:overflowPunct/>
        <w:topLinePunct w:val="0"/>
        <w:bidi w:val="0"/>
        <w:adjustRightInd/>
        <w:spacing w:line="360" w:lineRule="auto"/>
        <w:ind w:right="0" w:rightChars="0" w:firstLine="640" w:firstLineChars="200"/>
        <w:jc w:val="both"/>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接入</w:t>
      </w:r>
      <w:r>
        <w:rPr>
          <w:rFonts w:hint="eastAsia" w:ascii="仿宋_GB2312" w:hAnsi="仿宋_GB2312" w:eastAsia="仿宋_GB2312" w:cs="仿宋_GB2312"/>
          <w:color w:val="auto"/>
          <w:sz w:val="32"/>
          <w:szCs w:val="32"/>
          <w:highlight w:val="none"/>
        </w:rPr>
        <w:t>地</w:t>
      </w:r>
      <w:r>
        <w:rPr>
          <w:rFonts w:hint="eastAsia" w:ascii="仿宋_GB2312" w:hAnsi="仿宋_GB2312" w:eastAsia="仿宋_GB2312" w:cs="仿宋_GB2312"/>
          <w:color w:val="auto"/>
          <w:sz w:val="32"/>
          <w:szCs w:val="32"/>
          <w:highlight w:val="none"/>
          <w:lang w:val="en-US" w:eastAsia="zh-CN"/>
        </w:rPr>
        <w:t>点：北京市西直门内大街118号冠华大厦副楼三层机房（以下简称冠华大厦办公区）或北京市海淀区复兴路甲23号城乡大厦8层8011至8012（以下简称城乡大厦办公区）。</w:t>
      </w:r>
    </w:p>
    <w:p w14:paraId="56A86401">
      <w:pPr>
        <w:keepNext w:val="0"/>
        <w:keepLines w:val="0"/>
        <w:pageBreakBefore w:val="0"/>
        <w:numPr>
          <w:ilvl w:val="0"/>
          <w:numId w:val="3"/>
        </w:numPr>
        <w:wordWrap/>
        <w:overflowPunct/>
        <w:topLinePunct w:val="0"/>
        <w:bidi w:val="0"/>
        <w:adjustRightInd/>
        <w:spacing w:line="360" w:lineRule="auto"/>
        <w:ind w:right="0" w:rightChars="0" w:firstLine="652" w:firstLineChars="200"/>
        <w:jc w:val="both"/>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snapToGrid w:val="0"/>
          <w:color w:val="auto"/>
          <w:spacing w:val="3"/>
          <w:sz w:val="32"/>
          <w:szCs w:val="32"/>
          <w:highlight w:val="none"/>
          <w:lang w:val="en-US" w:eastAsia="zh-CN"/>
        </w:rPr>
        <w:t>接入商须为北京市政府采购（京华云采平台）指定供应商。</w:t>
      </w:r>
    </w:p>
    <w:p w14:paraId="77BA472D">
      <w:pPr>
        <w:keepNext w:val="0"/>
        <w:keepLines w:val="0"/>
        <w:pageBreakBefore w:val="0"/>
        <w:widowControl/>
        <w:numPr>
          <w:ilvl w:val="0"/>
          <w:numId w:val="1"/>
        </w:numPr>
        <w:kinsoku w:val="0"/>
        <w:wordWrap/>
        <w:overflowPunct/>
        <w:topLinePunct w:val="0"/>
        <w:autoSpaceDE w:val="0"/>
        <w:autoSpaceDN w:val="0"/>
        <w:bidi w:val="0"/>
        <w:adjustRightInd/>
        <w:snapToGrid w:val="0"/>
        <w:spacing w:line="360" w:lineRule="auto"/>
        <w:ind w:right="0" w:rightChars="0" w:firstLine="652" w:firstLineChars="200"/>
        <w:jc w:val="both"/>
        <w:textAlignment w:val="auto"/>
        <w:outlineLvl w:val="9"/>
        <w:rPr>
          <w:rFonts w:hint="eastAsia" w:ascii="仿宋_GB2312" w:hAnsi="仿宋_GB2312" w:eastAsia="仿宋_GB2312" w:cs="仿宋_GB2312"/>
          <w:snapToGrid w:val="0"/>
          <w:color w:val="auto"/>
          <w:spacing w:val="3"/>
          <w:sz w:val="32"/>
          <w:szCs w:val="32"/>
          <w:highlight w:val="none"/>
          <w:lang w:val="en-US" w:eastAsia="zh-CN"/>
        </w:rPr>
      </w:pPr>
      <w:r>
        <w:rPr>
          <w:rFonts w:hint="eastAsia" w:ascii="仿宋_GB2312" w:hAnsi="仿宋_GB2312" w:eastAsia="仿宋_GB2312" w:cs="仿宋_GB2312"/>
          <w:snapToGrid w:val="0"/>
          <w:color w:val="auto"/>
          <w:spacing w:val="3"/>
          <w:sz w:val="32"/>
          <w:szCs w:val="32"/>
          <w:highlight w:val="none"/>
        </w:rPr>
        <w:t>技术</w:t>
      </w:r>
      <w:r>
        <w:rPr>
          <w:rFonts w:hint="eastAsia" w:ascii="仿宋_GB2312" w:hAnsi="仿宋_GB2312" w:eastAsia="仿宋_GB2312" w:cs="仿宋_GB2312"/>
          <w:snapToGrid w:val="0"/>
          <w:color w:val="auto"/>
          <w:spacing w:val="3"/>
          <w:sz w:val="32"/>
          <w:szCs w:val="32"/>
          <w:highlight w:val="none"/>
          <w:lang w:val="en-US" w:eastAsia="zh-CN"/>
        </w:rPr>
        <w:t>要求</w:t>
      </w:r>
    </w:p>
    <w:p w14:paraId="40DA2028">
      <w:pPr>
        <w:keepNext w:val="0"/>
        <w:keepLines w:val="0"/>
        <w:pageBreakBefore w:val="0"/>
        <w:widowControl/>
        <w:numPr>
          <w:ilvl w:val="0"/>
          <w:numId w:val="4"/>
        </w:numPr>
        <w:kinsoku w:val="0"/>
        <w:wordWrap/>
        <w:overflowPunct/>
        <w:topLinePunct w:val="0"/>
        <w:autoSpaceDE w:val="0"/>
        <w:autoSpaceDN w:val="0"/>
        <w:bidi w:val="0"/>
        <w:adjustRightInd/>
        <w:snapToGrid w:val="0"/>
        <w:spacing w:line="360" w:lineRule="auto"/>
        <w:ind w:right="0" w:rightChars="0" w:firstLine="652" w:firstLineChars="200"/>
        <w:jc w:val="both"/>
        <w:textAlignment w:val="auto"/>
        <w:outlineLvl w:val="9"/>
        <w:rPr>
          <w:rFonts w:hint="eastAsia" w:ascii="仿宋_GB2312" w:hAnsi="仿宋_GB2312" w:eastAsia="仿宋_GB2312" w:cs="仿宋_GB2312"/>
          <w:snapToGrid w:val="0"/>
          <w:color w:val="auto"/>
          <w:spacing w:val="3"/>
          <w:sz w:val="32"/>
          <w:szCs w:val="32"/>
          <w:highlight w:val="none"/>
          <w:lang w:val="en-US" w:eastAsia="zh-CN"/>
        </w:rPr>
      </w:pPr>
      <w:r>
        <w:rPr>
          <w:rFonts w:hint="eastAsia" w:ascii="仿宋_GB2312" w:hAnsi="仿宋_GB2312" w:eastAsia="仿宋_GB2312" w:cs="仿宋_GB2312"/>
          <w:snapToGrid w:val="0"/>
          <w:color w:val="auto"/>
          <w:spacing w:val="3"/>
          <w:sz w:val="32"/>
          <w:szCs w:val="32"/>
          <w:highlight w:val="none"/>
          <w:lang w:val="en-US" w:eastAsia="zh-CN"/>
        </w:rPr>
        <w:t>一条100M线路，接入地点冠华大厦办公区三层机房</w:t>
      </w:r>
    </w:p>
    <w:p w14:paraId="397276EE">
      <w:pPr>
        <w:keepNext w:val="0"/>
        <w:keepLines w:val="0"/>
        <w:pageBreakBefore w:val="0"/>
        <w:widowControl/>
        <w:numPr>
          <w:ilvl w:val="0"/>
          <w:numId w:val="4"/>
        </w:numPr>
        <w:kinsoku w:val="0"/>
        <w:wordWrap/>
        <w:overflowPunct/>
        <w:topLinePunct w:val="0"/>
        <w:autoSpaceDE w:val="0"/>
        <w:autoSpaceDN w:val="0"/>
        <w:bidi w:val="0"/>
        <w:adjustRightInd/>
        <w:snapToGrid w:val="0"/>
        <w:spacing w:line="360" w:lineRule="auto"/>
        <w:ind w:right="0" w:rightChars="0" w:firstLine="652" w:firstLineChars="200"/>
        <w:jc w:val="both"/>
        <w:textAlignment w:val="auto"/>
        <w:outlineLvl w:val="9"/>
        <w:rPr>
          <w:rFonts w:hint="eastAsia" w:ascii="仿宋_GB2312" w:hAnsi="仿宋_GB2312" w:eastAsia="仿宋_GB2312" w:cs="仿宋_GB2312"/>
          <w:snapToGrid w:val="0"/>
          <w:color w:val="auto"/>
          <w:spacing w:val="3"/>
          <w:sz w:val="32"/>
          <w:szCs w:val="32"/>
          <w:highlight w:val="none"/>
          <w:lang w:val="en-US" w:eastAsia="zh-CN"/>
        </w:rPr>
      </w:pPr>
      <w:r>
        <w:rPr>
          <w:rFonts w:hint="eastAsia" w:ascii="仿宋_GB2312" w:hAnsi="仿宋_GB2312" w:eastAsia="仿宋_GB2312" w:cs="仿宋_GB2312"/>
          <w:snapToGrid w:val="0"/>
          <w:color w:val="auto"/>
          <w:spacing w:val="3"/>
          <w:sz w:val="32"/>
          <w:szCs w:val="32"/>
          <w:highlight w:val="none"/>
          <w:lang w:val="en-US" w:eastAsia="zh-CN"/>
        </w:rPr>
        <w:t>一条20M线路，接入地点冠华大厦办公区三层机房或城乡大厦办公区；</w:t>
      </w:r>
    </w:p>
    <w:p w14:paraId="517DD352">
      <w:pPr>
        <w:keepNext w:val="0"/>
        <w:keepLines w:val="0"/>
        <w:pageBreakBefore w:val="0"/>
        <w:widowControl/>
        <w:numPr>
          <w:ilvl w:val="0"/>
          <w:numId w:val="4"/>
        </w:numPr>
        <w:kinsoku w:val="0"/>
        <w:wordWrap/>
        <w:overflowPunct/>
        <w:topLinePunct w:val="0"/>
        <w:autoSpaceDE w:val="0"/>
        <w:autoSpaceDN w:val="0"/>
        <w:bidi w:val="0"/>
        <w:adjustRightInd/>
        <w:snapToGrid w:val="0"/>
        <w:spacing w:line="360" w:lineRule="auto"/>
        <w:ind w:right="0" w:rightChars="0" w:firstLine="652" w:firstLineChars="200"/>
        <w:jc w:val="both"/>
        <w:textAlignment w:val="auto"/>
        <w:outlineLvl w:val="9"/>
        <w:rPr>
          <w:rFonts w:hint="eastAsia" w:ascii="仿宋_GB2312" w:hAnsi="仿宋_GB2312" w:eastAsia="仿宋_GB2312" w:cs="仿宋_GB2312"/>
          <w:snapToGrid w:val="0"/>
          <w:color w:val="auto"/>
          <w:spacing w:val="3"/>
          <w:sz w:val="32"/>
          <w:szCs w:val="32"/>
          <w:highlight w:val="none"/>
          <w:lang w:val="en-US" w:eastAsia="zh-CN"/>
        </w:rPr>
      </w:pPr>
      <w:r>
        <w:rPr>
          <w:rFonts w:hint="eastAsia" w:ascii="仿宋_GB2312" w:hAnsi="仿宋_GB2312" w:eastAsia="仿宋_GB2312" w:cs="仿宋_GB2312"/>
          <w:snapToGrid w:val="0"/>
          <w:color w:val="auto"/>
          <w:spacing w:val="3"/>
          <w:sz w:val="32"/>
          <w:szCs w:val="32"/>
          <w:highlight w:val="none"/>
          <w:lang w:val="en-US" w:eastAsia="zh-CN"/>
        </w:rPr>
        <w:t>如两条线路属同一接入商，且均接入冠华大厦办公区，须由接入商提供两条线路完全独立、一条线路中断时另一条线路不受影响的佐证说明；</w:t>
      </w:r>
    </w:p>
    <w:p w14:paraId="50C16C5B">
      <w:pPr>
        <w:keepNext w:val="0"/>
        <w:keepLines w:val="0"/>
        <w:pageBreakBefore w:val="0"/>
        <w:widowControl/>
        <w:numPr>
          <w:ilvl w:val="0"/>
          <w:numId w:val="0"/>
        </w:numPr>
        <w:kinsoku w:val="0"/>
        <w:wordWrap/>
        <w:overflowPunct/>
        <w:topLinePunct w:val="0"/>
        <w:autoSpaceDE w:val="0"/>
        <w:autoSpaceDN w:val="0"/>
        <w:bidi w:val="0"/>
        <w:adjustRightInd/>
        <w:snapToGrid w:val="0"/>
        <w:spacing w:line="360" w:lineRule="auto"/>
        <w:ind w:right="0" w:rightChars="0" w:firstLine="652" w:firstLineChars="200"/>
        <w:jc w:val="both"/>
        <w:textAlignment w:val="auto"/>
        <w:outlineLvl w:val="9"/>
        <w:rPr>
          <w:rFonts w:hint="eastAsia" w:ascii="仿宋_GB2312" w:hAnsi="仿宋_GB2312" w:eastAsia="仿宋_GB2312" w:cs="仿宋_GB2312"/>
          <w:snapToGrid w:val="0"/>
          <w:color w:val="auto"/>
          <w:spacing w:val="3"/>
          <w:sz w:val="32"/>
          <w:szCs w:val="32"/>
          <w:highlight w:val="none"/>
          <w:lang w:eastAsia="zh-CN"/>
        </w:rPr>
      </w:pPr>
      <w:r>
        <w:rPr>
          <w:rFonts w:hint="eastAsia" w:ascii="仿宋_GB2312" w:hAnsi="仿宋_GB2312" w:eastAsia="仿宋_GB2312" w:cs="仿宋_GB2312"/>
          <w:snapToGrid w:val="0"/>
          <w:color w:val="auto"/>
          <w:spacing w:val="3"/>
          <w:sz w:val="32"/>
          <w:szCs w:val="32"/>
          <w:highlight w:val="none"/>
          <w:lang w:val="en-US" w:eastAsia="zh-CN"/>
        </w:rPr>
        <w:t>4.</w:t>
      </w:r>
      <w:r>
        <w:rPr>
          <w:rFonts w:hint="eastAsia" w:ascii="仿宋_GB2312" w:hAnsi="仿宋_GB2312" w:eastAsia="仿宋_GB2312" w:cs="仿宋_GB2312"/>
          <w:snapToGrid w:val="0"/>
          <w:color w:val="auto"/>
          <w:spacing w:val="3"/>
          <w:sz w:val="32"/>
          <w:szCs w:val="32"/>
          <w:highlight w:val="none"/>
        </w:rPr>
        <w:t>运营商</w:t>
      </w:r>
      <w:r>
        <w:rPr>
          <w:rFonts w:hint="eastAsia" w:ascii="仿宋_GB2312" w:hAnsi="仿宋_GB2312" w:eastAsia="仿宋_GB2312" w:cs="仿宋_GB2312"/>
          <w:snapToGrid w:val="0"/>
          <w:color w:val="auto"/>
          <w:spacing w:val="3"/>
          <w:sz w:val="32"/>
          <w:szCs w:val="32"/>
          <w:highlight w:val="none"/>
          <w:lang w:val="en-US" w:eastAsia="zh-CN"/>
        </w:rPr>
        <w:t>具备</w:t>
      </w:r>
      <w:r>
        <w:rPr>
          <w:rFonts w:hint="eastAsia" w:ascii="仿宋_GB2312" w:hAnsi="仿宋_GB2312" w:eastAsia="仿宋_GB2312" w:cs="仿宋_GB2312"/>
          <w:snapToGrid w:val="0"/>
          <w:color w:val="auto"/>
          <w:spacing w:val="3"/>
          <w:sz w:val="32"/>
          <w:szCs w:val="32"/>
          <w:highlight w:val="none"/>
        </w:rPr>
        <w:t>DDOS防御能力</w:t>
      </w:r>
      <w:r>
        <w:rPr>
          <w:rFonts w:hint="eastAsia" w:ascii="仿宋_GB2312" w:hAnsi="仿宋_GB2312" w:eastAsia="仿宋_GB2312" w:cs="仿宋_GB2312"/>
          <w:snapToGrid w:val="0"/>
          <w:color w:val="auto"/>
          <w:spacing w:val="3"/>
          <w:sz w:val="32"/>
          <w:szCs w:val="32"/>
          <w:highlight w:val="none"/>
          <w:lang w:eastAsia="zh-CN"/>
        </w:rPr>
        <w:t>；</w:t>
      </w:r>
    </w:p>
    <w:p w14:paraId="7B1B5BB4">
      <w:pPr>
        <w:keepNext w:val="0"/>
        <w:keepLines w:val="0"/>
        <w:pageBreakBefore w:val="0"/>
        <w:widowControl/>
        <w:numPr>
          <w:ilvl w:val="0"/>
          <w:numId w:val="0"/>
        </w:numPr>
        <w:kinsoku w:val="0"/>
        <w:wordWrap/>
        <w:overflowPunct/>
        <w:topLinePunct w:val="0"/>
        <w:autoSpaceDE w:val="0"/>
        <w:autoSpaceDN w:val="0"/>
        <w:bidi w:val="0"/>
        <w:adjustRightInd/>
        <w:snapToGrid w:val="0"/>
        <w:spacing w:line="360" w:lineRule="auto"/>
        <w:ind w:right="0" w:rightChars="0" w:firstLine="640" w:firstLineChars="200"/>
        <w:jc w:val="both"/>
        <w:textAlignment w:val="auto"/>
        <w:outlineLvl w:val="9"/>
        <w:rPr>
          <w:rFonts w:hint="eastAsia" w:ascii="仿宋_GB2312" w:hAnsi="仿宋_GB2312" w:eastAsia="仿宋_GB2312" w:cs="仿宋_GB2312"/>
          <w:snapToGrid w:val="0"/>
          <w:color w:val="auto"/>
          <w:spacing w:val="3"/>
          <w:sz w:val="32"/>
          <w:szCs w:val="32"/>
          <w:highlight w:val="none"/>
        </w:rPr>
      </w:pPr>
      <w:r>
        <w:rPr>
          <w:rFonts w:hint="eastAsia" w:ascii="仿宋_GB2312" w:hAnsi="仿宋_GB2312" w:eastAsia="仿宋_GB2312" w:cs="仿宋_GB2312"/>
          <w:color w:val="auto"/>
          <w:sz w:val="32"/>
          <w:szCs w:val="32"/>
          <w:highlight w:val="none"/>
          <w:lang w:val="en-US" w:eastAsia="zh-CN"/>
        </w:rPr>
        <w:t>5.物</w:t>
      </w:r>
      <w:r>
        <w:rPr>
          <w:rFonts w:hint="eastAsia" w:ascii="仿宋_GB2312" w:hAnsi="仿宋_GB2312" w:eastAsia="仿宋_GB2312" w:cs="仿宋_GB2312"/>
          <w:snapToGrid w:val="0"/>
          <w:color w:val="auto"/>
          <w:spacing w:val="3"/>
          <w:sz w:val="32"/>
          <w:szCs w:val="32"/>
          <w:highlight w:val="none"/>
        </w:rPr>
        <w:t>理线路采用光缆物理接入；</w:t>
      </w:r>
    </w:p>
    <w:p w14:paraId="1A14A2B7">
      <w:pPr>
        <w:keepNext w:val="0"/>
        <w:keepLines w:val="0"/>
        <w:pageBreakBefore w:val="0"/>
        <w:widowControl/>
        <w:numPr>
          <w:ilvl w:val="0"/>
          <w:numId w:val="0"/>
        </w:numPr>
        <w:kinsoku w:val="0"/>
        <w:wordWrap/>
        <w:overflowPunct/>
        <w:topLinePunct w:val="0"/>
        <w:autoSpaceDE w:val="0"/>
        <w:autoSpaceDN w:val="0"/>
        <w:bidi w:val="0"/>
        <w:adjustRightInd/>
        <w:snapToGrid w:val="0"/>
        <w:spacing w:line="360" w:lineRule="auto"/>
        <w:ind w:right="0" w:rightChars="0" w:firstLine="652" w:firstLineChars="200"/>
        <w:jc w:val="both"/>
        <w:textAlignment w:val="auto"/>
        <w:outlineLvl w:val="9"/>
        <w:rPr>
          <w:rFonts w:hint="eastAsia" w:ascii="仿宋_GB2312" w:hAnsi="仿宋_GB2312" w:eastAsia="仿宋_GB2312" w:cs="仿宋_GB2312"/>
          <w:snapToGrid w:val="0"/>
          <w:color w:val="auto"/>
          <w:spacing w:val="3"/>
          <w:sz w:val="32"/>
          <w:szCs w:val="32"/>
          <w:highlight w:val="none"/>
        </w:rPr>
      </w:pPr>
      <w:r>
        <w:rPr>
          <w:rFonts w:hint="eastAsia" w:ascii="仿宋_GB2312" w:hAnsi="仿宋_GB2312" w:eastAsia="仿宋_GB2312" w:cs="仿宋_GB2312"/>
          <w:snapToGrid w:val="0"/>
          <w:color w:val="auto"/>
          <w:spacing w:val="3"/>
          <w:sz w:val="32"/>
          <w:szCs w:val="32"/>
          <w:highlight w:val="none"/>
          <w:lang w:val="en-US" w:eastAsia="zh-CN"/>
        </w:rPr>
        <w:t>6.</w:t>
      </w:r>
      <w:r>
        <w:rPr>
          <w:rFonts w:hint="eastAsia" w:ascii="仿宋_GB2312" w:hAnsi="仿宋_GB2312" w:eastAsia="仿宋_GB2312" w:cs="仿宋_GB2312"/>
          <w:snapToGrid w:val="0"/>
          <w:color w:val="auto"/>
          <w:spacing w:val="3"/>
          <w:sz w:val="32"/>
          <w:szCs w:val="32"/>
          <w:highlight w:val="none"/>
          <w:lang w:eastAsia="zh-CN"/>
        </w:rPr>
        <w:t>接入商</w:t>
      </w:r>
      <w:r>
        <w:rPr>
          <w:rFonts w:hint="eastAsia" w:ascii="仿宋_GB2312" w:hAnsi="仿宋_GB2312" w:eastAsia="仿宋_GB2312" w:cs="仿宋_GB2312"/>
          <w:snapToGrid w:val="0"/>
          <w:color w:val="auto"/>
          <w:spacing w:val="3"/>
          <w:sz w:val="32"/>
          <w:szCs w:val="32"/>
          <w:highlight w:val="none"/>
        </w:rPr>
        <w:t>必须提供采购人从光传输设备至采购人路由设备所需的光纤跳线及与采购人设备线缆相匹配的转换接头等必要的配件。</w:t>
      </w:r>
    </w:p>
    <w:p w14:paraId="6D31B353">
      <w:pPr>
        <w:keepNext w:val="0"/>
        <w:keepLines w:val="0"/>
        <w:pageBreakBefore w:val="0"/>
        <w:widowControl/>
        <w:numPr>
          <w:ilvl w:val="0"/>
          <w:numId w:val="0"/>
        </w:numPr>
        <w:kinsoku w:val="0"/>
        <w:wordWrap/>
        <w:overflowPunct/>
        <w:topLinePunct w:val="0"/>
        <w:autoSpaceDE w:val="0"/>
        <w:autoSpaceDN w:val="0"/>
        <w:bidi w:val="0"/>
        <w:adjustRightInd/>
        <w:snapToGrid w:val="0"/>
        <w:spacing w:line="360" w:lineRule="auto"/>
        <w:ind w:right="0" w:rightChars="0" w:firstLine="652" w:firstLineChars="200"/>
        <w:jc w:val="both"/>
        <w:textAlignment w:val="auto"/>
        <w:outlineLvl w:val="9"/>
        <w:rPr>
          <w:rFonts w:hint="eastAsia" w:ascii="仿宋_GB2312" w:hAnsi="仿宋_GB2312" w:eastAsia="仿宋_GB2312" w:cs="仿宋_GB2312"/>
          <w:snapToGrid w:val="0"/>
          <w:color w:val="auto"/>
          <w:spacing w:val="3"/>
          <w:sz w:val="32"/>
          <w:szCs w:val="32"/>
          <w:highlight w:val="none"/>
        </w:rPr>
      </w:pPr>
      <w:r>
        <w:rPr>
          <w:rFonts w:hint="eastAsia" w:ascii="仿宋_GB2312" w:hAnsi="仿宋_GB2312" w:eastAsia="仿宋_GB2312" w:cs="仿宋_GB2312"/>
          <w:snapToGrid w:val="0"/>
          <w:color w:val="auto"/>
          <w:spacing w:val="3"/>
          <w:sz w:val="32"/>
          <w:szCs w:val="32"/>
          <w:highlight w:val="none"/>
          <w:lang w:val="en-US" w:eastAsia="zh-CN"/>
        </w:rPr>
        <w:t>四、</w:t>
      </w:r>
      <w:r>
        <w:rPr>
          <w:rFonts w:hint="eastAsia" w:ascii="仿宋_GB2312" w:hAnsi="仿宋_GB2312" w:eastAsia="仿宋_GB2312" w:cs="仿宋_GB2312"/>
          <w:snapToGrid w:val="0"/>
          <w:color w:val="auto"/>
          <w:spacing w:val="3"/>
          <w:sz w:val="32"/>
          <w:szCs w:val="32"/>
          <w:highlight w:val="none"/>
        </w:rPr>
        <w:t>服务</w:t>
      </w:r>
      <w:r>
        <w:rPr>
          <w:rFonts w:hint="eastAsia" w:ascii="仿宋_GB2312" w:hAnsi="仿宋_GB2312" w:eastAsia="仿宋_GB2312" w:cs="仿宋_GB2312"/>
          <w:snapToGrid w:val="0"/>
          <w:color w:val="auto"/>
          <w:spacing w:val="3"/>
          <w:sz w:val="32"/>
          <w:szCs w:val="32"/>
          <w:highlight w:val="none"/>
          <w:lang w:val="en-US" w:eastAsia="zh-CN"/>
        </w:rPr>
        <w:t>内容及</w:t>
      </w:r>
      <w:r>
        <w:rPr>
          <w:rFonts w:hint="eastAsia" w:ascii="仿宋_GB2312" w:hAnsi="仿宋_GB2312" w:eastAsia="仿宋_GB2312" w:cs="仿宋_GB2312"/>
          <w:snapToGrid w:val="0"/>
          <w:color w:val="auto"/>
          <w:spacing w:val="3"/>
          <w:sz w:val="32"/>
          <w:szCs w:val="32"/>
          <w:highlight w:val="none"/>
        </w:rPr>
        <w:t>要求</w:t>
      </w:r>
    </w:p>
    <w:p w14:paraId="7EB89F4C">
      <w:pPr>
        <w:keepNext w:val="0"/>
        <w:keepLines w:val="0"/>
        <w:pageBreakBefore w:val="0"/>
        <w:widowControl/>
        <w:numPr>
          <w:ilvl w:val="0"/>
          <w:numId w:val="0"/>
        </w:numPr>
        <w:kinsoku w:val="0"/>
        <w:wordWrap/>
        <w:overflowPunct/>
        <w:topLinePunct w:val="0"/>
        <w:autoSpaceDE w:val="0"/>
        <w:autoSpaceDN w:val="0"/>
        <w:bidi w:val="0"/>
        <w:adjustRightInd/>
        <w:snapToGrid w:val="0"/>
        <w:spacing w:line="360" w:lineRule="auto"/>
        <w:ind w:right="0" w:rightChars="0" w:firstLine="652" w:firstLineChars="200"/>
        <w:jc w:val="both"/>
        <w:textAlignment w:val="auto"/>
        <w:outlineLvl w:val="9"/>
        <w:rPr>
          <w:rFonts w:hint="eastAsia" w:ascii="仿宋_GB2312" w:hAnsi="仿宋_GB2312" w:eastAsia="仿宋_GB2312" w:cs="仿宋_GB2312"/>
          <w:snapToGrid w:val="0"/>
          <w:color w:val="auto"/>
          <w:spacing w:val="3"/>
          <w:sz w:val="32"/>
          <w:szCs w:val="32"/>
          <w:highlight w:val="none"/>
        </w:rPr>
      </w:pPr>
      <w:r>
        <w:rPr>
          <w:rFonts w:hint="eastAsia" w:ascii="仿宋_GB2312" w:hAnsi="仿宋_GB2312" w:eastAsia="仿宋_GB2312" w:cs="仿宋_GB2312"/>
          <w:snapToGrid w:val="0"/>
          <w:color w:val="auto"/>
          <w:spacing w:val="3"/>
          <w:sz w:val="32"/>
          <w:szCs w:val="32"/>
          <w:highlight w:val="none"/>
          <w:lang w:val="en-US" w:eastAsia="zh-CN"/>
        </w:rPr>
        <w:t>1.接入商</w:t>
      </w:r>
      <w:r>
        <w:rPr>
          <w:rFonts w:hint="eastAsia" w:ascii="仿宋_GB2312" w:hAnsi="仿宋_GB2312" w:eastAsia="仿宋_GB2312" w:cs="仿宋_GB2312"/>
          <w:snapToGrid w:val="0"/>
          <w:color w:val="auto"/>
          <w:spacing w:val="3"/>
          <w:sz w:val="32"/>
          <w:szCs w:val="32"/>
          <w:highlight w:val="none"/>
        </w:rPr>
        <w:t>在具备丰富IPv4地址的同时，根据国家推进IPv6的战略需要，适时为采购人提供相应的IPv6地址。</w:t>
      </w:r>
    </w:p>
    <w:p w14:paraId="23888063">
      <w:pPr>
        <w:keepNext w:val="0"/>
        <w:keepLines w:val="0"/>
        <w:pageBreakBefore w:val="0"/>
        <w:widowControl/>
        <w:numPr>
          <w:ilvl w:val="0"/>
          <w:numId w:val="0"/>
        </w:numPr>
        <w:kinsoku w:val="0"/>
        <w:wordWrap/>
        <w:overflowPunct/>
        <w:topLinePunct w:val="0"/>
        <w:autoSpaceDE w:val="0"/>
        <w:autoSpaceDN w:val="0"/>
        <w:bidi w:val="0"/>
        <w:adjustRightInd/>
        <w:snapToGrid w:val="0"/>
        <w:spacing w:line="360" w:lineRule="auto"/>
        <w:ind w:right="0" w:rightChars="0" w:firstLine="652" w:firstLineChars="200"/>
        <w:jc w:val="both"/>
        <w:textAlignment w:val="auto"/>
        <w:outlineLvl w:val="9"/>
        <w:rPr>
          <w:rFonts w:hint="eastAsia" w:ascii="仿宋_GB2312" w:hAnsi="仿宋_GB2312" w:eastAsia="仿宋_GB2312" w:cs="仿宋_GB2312"/>
          <w:snapToGrid w:val="0"/>
          <w:color w:val="auto"/>
          <w:spacing w:val="3"/>
          <w:sz w:val="32"/>
          <w:szCs w:val="32"/>
          <w:highlight w:val="none"/>
        </w:rPr>
      </w:pPr>
      <w:r>
        <w:rPr>
          <w:rFonts w:hint="eastAsia" w:ascii="仿宋_GB2312" w:hAnsi="仿宋_GB2312" w:eastAsia="仿宋_GB2312" w:cs="仿宋_GB2312"/>
          <w:snapToGrid w:val="0"/>
          <w:color w:val="auto"/>
          <w:spacing w:val="3"/>
          <w:sz w:val="32"/>
          <w:szCs w:val="32"/>
          <w:highlight w:val="none"/>
          <w:lang w:val="en-US" w:eastAsia="zh-CN"/>
        </w:rPr>
        <w:t>2.</w:t>
      </w:r>
      <w:r>
        <w:rPr>
          <w:rFonts w:hint="eastAsia" w:ascii="仿宋_GB2312" w:hAnsi="仿宋_GB2312" w:eastAsia="仿宋_GB2312" w:cs="仿宋_GB2312"/>
          <w:snapToGrid w:val="0"/>
          <w:color w:val="auto"/>
          <w:spacing w:val="3"/>
          <w:sz w:val="32"/>
          <w:szCs w:val="32"/>
          <w:highlight w:val="none"/>
        </w:rPr>
        <w:t>服务期内，</w:t>
      </w:r>
      <w:r>
        <w:rPr>
          <w:rFonts w:hint="eastAsia" w:ascii="仿宋_GB2312" w:hAnsi="仿宋_GB2312" w:eastAsia="仿宋_GB2312" w:cs="仿宋_GB2312"/>
          <w:snapToGrid w:val="0"/>
          <w:color w:val="auto"/>
          <w:spacing w:val="3"/>
          <w:sz w:val="32"/>
          <w:szCs w:val="32"/>
          <w:highlight w:val="none"/>
          <w:lang w:val="en-US" w:eastAsia="zh-CN"/>
        </w:rPr>
        <w:t>如采购人接入地点发生变更，接入商须</w:t>
      </w:r>
      <w:r>
        <w:rPr>
          <w:rFonts w:hint="eastAsia" w:ascii="仿宋_GB2312" w:hAnsi="仿宋_GB2312" w:eastAsia="仿宋_GB2312" w:cs="仿宋_GB2312"/>
          <w:snapToGrid w:val="0"/>
          <w:color w:val="auto"/>
          <w:spacing w:val="3"/>
          <w:sz w:val="32"/>
          <w:szCs w:val="32"/>
          <w:highlight w:val="none"/>
        </w:rPr>
        <w:t>提供线路迁移服务，迁移服务包含：</w:t>
      </w:r>
    </w:p>
    <w:p w14:paraId="4C548E6E">
      <w:pPr>
        <w:keepNext w:val="0"/>
        <w:keepLines w:val="0"/>
        <w:pageBreakBefore w:val="0"/>
        <w:widowControl/>
        <w:kinsoku w:val="0"/>
        <w:wordWrap/>
        <w:overflowPunct/>
        <w:topLinePunct w:val="0"/>
        <w:autoSpaceDE w:val="0"/>
        <w:autoSpaceDN w:val="0"/>
        <w:bidi w:val="0"/>
        <w:adjustRightInd/>
        <w:snapToGrid w:val="0"/>
        <w:spacing w:line="360" w:lineRule="auto"/>
        <w:ind w:right="0" w:rightChars="0" w:firstLine="652" w:firstLineChars="200"/>
        <w:jc w:val="both"/>
        <w:textAlignment w:val="auto"/>
        <w:outlineLvl w:val="9"/>
        <w:rPr>
          <w:rFonts w:hint="eastAsia" w:ascii="仿宋_GB2312" w:hAnsi="仿宋_GB2312" w:eastAsia="仿宋_GB2312" w:cs="仿宋_GB2312"/>
          <w:snapToGrid w:val="0"/>
          <w:color w:val="auto"/>
          <w:spacing w:val="3"/>
          <w:sz w:val="32"/>
          <w:szCs w:val="32"/>
          <w:highlight w:val="none"/>
        </w:rPr>
      </w:pPr>
      <w:r>
        <w:rPr>
          <w:rFonts w:hint="eastAsia" w:ascii="仿宋_GB2312" w:hAnsi="仿宋_GB2312" w:eastAsia="仿宋_GB2312" w:cs="仿宋_GB2312"/>
          <w:snapToGrid w:val="0"/>
          <w:color w:val="auto"/>
          <w:spacing w:val="3"/>
          <w:sz w:val="32"/>
          <w:szCs w:val="32"/>
          <w:highlight w:val="none"/>
        </w:rPr>
        <w:t>A.采购人办公地点整体迁移。要求线路提供商先开通新办公地点的线路，采购人迁移工作完毕后，再拆除原办公地点线路。新老线路在迁移期间不再额外收取任何费用。新旧光传输设备型号、容量不变。</w:t>
      </w:r>
    </w:p>
    <w:p w14:paraId="041E792C">
      <w:pPr>
        <w:keepNext w:val="0"/>
        <w:keepLines w:val="0"/>
        <w:pageBreakBefore w:val="0"/>
        <w:widowControl/>
        <w:kinsoku w:val="0"/>
        <w:wordWrap/>
        <w:overflowPunct/>
        <w:topLinePunct w:val="0"/>
        <w:autoSpaceDE w:val="0"/>
        <w:autoSpaceDN w:val="0"/>
        <w:bidi w:val="0"/>
        <w:adjustRightInd/>
        <w:snapToGrid w:val="0"/>
        <w:spacing w:line="360" w:lineRule="auto"/>
        <w:ind w:right="0" w:rightChars="0" w:firstLine="652" w:firstLineChars="200"/>
        <w:jc w:val="both"/>
        <w:textAlignment w:val="auto"/>
        <w:outlineLvl w:val="9"/>
        <w:rPr>
          <w:rFonts w:hint="eastAsia" w:ascii="仿宋_GB2312" w:hAnsi="仿宋_GB2312" w:eastAsia="仿宋_GB2312" w:cs="仿宋_GB2312"/>
          <w:snapToGrid w:val="0"/>
          <w:color w:val="auto"/>
          <w:spacing w:val="3"/>
          <w:sz w:val="32"/>
          <w:szCs w:val="32"/>
          <w:highlight w:val="none"/>
        </w:rPr>
      </w:pPr>
      <w:r>
        <w:rPr>
          <w:rFonts w:hint="eastAsia" w:ascii="仿宋_GB2312" w:hAnsi="仿宋_GB2312" w:eastAsia="仿宋_GB2312" w:cs="仿宋_GB2312"/>
          <w:snapToGrid w:val="0"/>
          <w:color w:val="auto"/>
          <w:spacing w:val="3"/>
          <w:sz w:val="32"/>
          <w:szCs w:val="32"/>
          <w:highlight w:val="none"/>
        </w:rPr>
        <w:t>B.采购人办公地点不变，机房位置根据工作需要改变位置。要求线路提供商根据采购人需求，提供接入光缆或光传输设备的移位服务。迁移前应制定详细的线路迁移方案，迁移中线路中断时间应在采购人的要求范围内，迁移后保证线路的可用性，确保系统如期正常运行。</w:t>
      </w:r>
    </w:p>
    <w:p w14:paraId="686444A4">
      <w:pPr>
        <w:keepNext w:val="0"/>
        <w:keepLines w:val="0"/>
        <w:pageBreakBefore w:val="0"/>
        <w:widowControl/>
        <w:numPr>
          <w:ilvl w:val="0"/>
          <w:numId w:val="0"/>
        </w:numPr>
        <w:kinsoku w:val="0"/>
        <w:wordWrap/>
        <w:overflowPunct/>
        <w:topLinePunct w:val="0"/>
        <w:autoSpaceDE w:val="0"/>
        <w:autoSpaceDN w:val="0"/>
        <w:bidi w:val="0"/>
        <w:adjustRightInd/>
        <w:snapToGrid w:val="0"/>
        <w:spacing w:line="360" w:lineRule="auto"/>
        <w:ind w:right="0" w:rightChars="0" w:firstLine="652" w:firstLineChars="200"/>
        <w:jc w:val="both"/>
        <w:textAlignment w:val="auto"/>
        <w:outlineLvl w:val="9"/>
        <w:rPr>
          <w:rFonts w:hint="eastAsia" w:ascii="仿宋_GB2312" w:hAnsi="仿宋_GB2312" w:eastAsia="仿宋_GB2312" w:cs="仿宋_GB2312"/>
          <w:snapToGrid w:val="0"/>
          <w:color w:val="auto"/>
          <w:spacing w:val="3"/>
          <w:sz w:val="32"/>
          <w:szCs w:val="32"/>
          <w:highlight w:val="none"/>
        </w:rPr>
      </w:pPr>
      <w:r>
        <w:rPr>
          <w:rFonts w:hint="eastAsia" w:ascii="仿宋_GB2312" w:hAnsi="仿宋_GB2312" w:eastAsia="仿宋_GB2312" w:cs="仿宋_GB2312"/>
          <w:snapToGrid w:val="0"/>
          <w:color w:val="auto"/>
          <w:spacing w:val="3"/>
          <w:sz w:val="32"/>
          <w:szCs w:val="32"/>
          <w:highlight w:val="none"/>
          <w:lang w:val="en-US" w:eastAsia="zh-CN"/>
        </w:rPr>
        <w:t>3.</w:t>
      </w:r>
      <w:r>
        <w:rPr>
          <w:rFonts w:hint="eastAsia" w:ascii="仿宋_GB2312" w:hAnsi="仿宋_GB2312" w:eastAsia="仿宋_GB2312" w:cs="仿宋_GB2312"/>
          <w:snapToGrid w:val="0"/>
          <w:color w:val="auto"/>
          <w:spacing w:val="3"/>
          <w:sz w:val="32"/>
          <w:szCs w:val="32"/>
          <w:highlight w:val="none"/>
          <w:lang w:eastAsia="zh-CN"/>
        </w:rPr>
        <w:t>接入商</w:t>
      </w:r>
      <w:r>
        <w:rPr>
          <w:rFonts w:hint="eastAsia" w:ascii="仿宋_GB2312" w:hAnsi="仿宋_GB2312" w:eastAsia="仿宋_GB2312" w:cs="仿宋_GB2312"/>
          <w:snapToGrid w:val="0"/>
          <w:color w:val="auto"/>
          <w:spacing w:val="3"/>
          <w:sz w:val="32"/>
          <w:szCs w:val="32"/>
          <w:highlight w:val="none"/>
        </w:rPr>
        <w:t>应提供 7×24 小时电话技术支持和故障申报服务。</w:t>
      </w:r>
    </w:p>
    <w:p w14:paraId="7F53C8D7">
      <w:pPr>
        <w:keepNext w:val="0"/>
        <w:keepLines w:val="0"/>
        <w:pageBreakBefore w:val="0"/>
        <w:widowControl/>
        <w:numPr>
          <w:ilvl w:val="0"/>
          <w:numId w:val="0"/>
        </w:numPr>
        <w:kinsoku w:val="0"/>
        <w:wordWrap/>
        <w:overflowPunct/>
        <w:topLinePunct w:val="0"/>
        <w:autoSpaceDE w:val="0"/>
        <w:autoSpaceDN w:val="0"/>
        <w:bidi w:val="0"/>
        <w:adjustRightInd/>
        <w:snapToGrid w:val="0"/>
        <w:spacing w:line="360" w:lineRule="auto"/>
        <w:ind w:right="0" w:rightChars="0" w:firstLine="652" w:firstLineChars="200"/>
        <w:jc w:val="both"/>
        <w:textAlignment w:val="auto"/>
        <w:outlineLvl w:val="9"/>
        <w:rPr>
          <w:rFonts w:hint="eastAsia" w:ascii="仿宋_GB2312" w:hAnsi="仿宋_GB2312" w:eastAsia="仿宋_GB2312" w:cs="仿宋_GB2312"/>
          <w:snapToGrid w:val="0"/>
          <w:color w:val="auto"/>
          <w:spacing w:val="3"/>
          <w:sz w:val="32"/>
          <w:szCs w:val="32"/>
          <w:highlight w:val="none"/>
        </w:rPr>
      </w:pPr>
      <w:r>
        <w:rPr>
          <w:rFonts w:hint="eastAsia" w:ascii="仿宋_GB2312" w:hAnsi="仿宋_GB2312" w:eastAsia="仿宋_GB2312" w:cs="仿宋_GB2312"/>
          <w:snapToGrid w:val="0"/>
          <w:color w:val="auto"/>
          <w:spacing w:val="3"/>
          <w:sz w:val="32"/>
          <w:szCs w:val="32"/>
          <w:highlight w:val="none"/>
          <w:lang w:val="en-US" w:eastAsia="zh-CN"/>
        </w:rPr>
        <w:t>4.</w:t>
      </w:r>
      <w:r>
        <w:rPr>
          <w:rFonts w:hint="eastAsia" w:ascii="仿宋_GB2312" w:hAnsi="仿宋_GB2312" w:eastAsia="仿宋_GB2312" w:cs="仿宋_GB2312"/>
          <w:snapToGrid w:val="0"/>
          <w:color w:val="auto"/>
          <w:spacing w:val="3"/>
          <w:sz w:val="32"/>
          <w:szCs w:val="32"/>
          <w:highlight w:val="none"/>
        </w:rPr>
        <w:t>对于由于外部原因或者</w:t>
      </w:r>
      <w:r>
        <w:rPr>
          <w:rFonts w:hint="eastAsia" w:ascii="仿宋_GB2312" w:hAnsi="仿宋_GB2312" w:eastAsia="仿宋_GB2312" w:cs="仿宋_GB2312"/>
          <w:snapToGrid w:val="0"/>
          <w:color w:val="auto"/>
          <w:spacing w:val="3"/>
          <w:sz w:val="32"/>
          <w:szCs w:val="32"/>
          <w:highlight w:val="none"/>
          <w:lang w:val="en-US" w:eastAsia="zh-CN"/>
        </w:rPr>
        <w:t>接入商</w:t>
      </w:r>
      <w:r>
        <w:rPr>
          <w:rFonts w:hint="eastAsia" w:ascii="仿宋_GB2312" w:hAnsi="仿宋_GB2312" w:eastAsia="仿宋_GB2312" w:cs="仿宋_GB2312"/>
          <w:snapToGrid w:val="0"/>
          <w:color w:val="auto"/>
          <w:spacing w:val="3"/>
          <w:sz w:val="32"/>
          <w:szCs w:val="32"/>
          <w:highlight w:val="none"/>
        </w:rPr>
        <w:t>原因引起的业务割接，</w:t>
      </w:r>
      <w:r>
        <w:rPr>
          <w:rFonts w:hint="eastAsia" w:ascii="仿宋_GB2312" w:hAnsi="仿宋_GB2312" w:eastAsia="仿宋_GB2312" w:cs="仿宋_GB2312"/>
          <w:snapToGrid w:val="0"/>
          <w:color w:val="auto"/>
          <w:spacing w:val="3"/>
          <w:sz w:val="32"/>
          <w:szCs w:val="32"/>
          <w:highlight w:val="none"/>
          <w:lang w:val="en-US" w:eastAsia="zh-CN"/>
        </w:rPr>
        <w:t>接入商</w:t>
      </w:r>
      <w:r>
        <w:rPr>
          <w:rFonts w:hint="eastAsia" w:ascii="仿宋_GB2312" w:hAnsi="仿宋_GB2312" w:eastAsia="仿宋_GB2312" w:cs="仿宋_GB2312"/>
          <w:snapToGrid w:val="0"/>
          <w:color w:val="auto"/>
          <w:spacing w:val="3"/>
          <w:sz w:val="32"/>
          <w:szCs w:val="32"/>
          <w:highlight w:val="none"/>
        </w:rPr>
        <w:t>应至少提前3个工作日通知采购人，并制订详细割接方案备案；割接时间应事先征得采购人书面同意，并应尽量做到不停或少停</w:t>
      </w:r>
      <w:r>
        <w:rPr>
          <w:rFonts w:hint="eastAsia" w:ascii="仿宋_GB2312" w:hAnsi="仿宋_GB2312" w:eastAsia="仿宋_GB2312" w:cs="仿宋_GB2312"/>
          <w:snapToGrid w:val="0"/>
          <w:color w:val="auto"/>
          <w:spacing w:val="3"/>
          <w:sz w:val="32"/>
          <w:szCs w:val="32"/>
          <w:highlight w:val="none"/>
          <w:lang w:val="en-US" w:eastAsia="zh-CN"/>
        </w:rPr>
        <w:t>线</w:t>
      </w:r>
      <w:r>
        <w:rPr>
          <w:rFonts w:hint="eastAsia" w:ascii="仿宋_GB2312" w:hAnsi="仿宋_GB2312" w:eastAsia="仿宋_GB2312" w:cs="仿宋_GB2312"/>
          <w:snapToGrid w:val="0"/>
          <w:color w:val="auto"/>
          <w:spacing w:val="3"/>
          <w:sz w:val="32"/>
          <w:szCs w:val="32"/>
          <w:highlight w:val="none"/>
        </w:rPr>
        <w:t>路。</w:t>
      </w:r>
    </w:p>
    <w:p w14:paraId="137EC809">
      <w:pPr>
        <w:keepNext w:val="0"/>
        <w:keepLines w:val="0"/>
        <w:pageBreakBefore w:val="0"/>
        <w:widowControl/>
        <w:numPr>
          <w:ilvl w:val="0"/>
          <w:numId w:val="0"/>
        </w:numPr>
        <w:kinsoku w:val="0"/>
        <w:wordWrap/>
        <w:overflowPunct/>
        <w:topLinePunct w:val="0"/>
        <w:autoSpaceDE w:val="0"/>
        <w:autoSpaceDN w:val="0"/>
        <w:bidi w:val="0"/>
        <w:adjustRightInd/>
        <w:snapToGrid w:val="0"/>
        <w:spacing w:line="360" w:lineRule="auto"/>
        <w:ind w:right="0" w:rightChars="0" w:firstLine="652" w:firstLineChars="200"/>
        <w:jc w:val="both"/>
        <w:textAlignment w:val="auto"/>
        <w:outlineLvl w:val="9"/>
        <w:rPr>
          <w:rFonts w:hint="eastAsia" w:ascii="仿宋_GB2312" w:hAnsi="仿宋_GB2312" w:eastAsia="仿宋_GB2312" w:cs="仿宋_GB2312"/>
          <w:snapToGrid w:val="0"/>
          <w:color w:val="auto"/>
          <w:spacing w:val="3"/>
          <w:sz w:val="32"/>
          <w:szCs w:val="32"/>
          <w:highlight w:val="none"/>
        </w:rPr>
      </w:pPr>
      <w:r>
        <w:rPr>
          <w:rFonts w:hint="eastAsia" w:ascii="仿宋_GB2312" w:hAnsi="仿宋_GB2312" w:eastAsia="仿宋_GB2312" w:cs="仿宋_GB2312"/>
          <w:snapToGrid w:val="0"/>
          <w:color w:val="auto"/>
          <w:spacing w:val="3"/>
          <w:sz w:val="32"/>
          <w:szCs w:val="32"/>
          <w:highlight w:val="none"/>
          <w:lang w:val="en-US" w:eastAsia="zh-CN"/>
        </w:rPr>
        <w:t>5.接入商须</w:t>
      </w:r>
      <w:r>
        <w:rPr>
          <w:rFonts w:hint="eastAsia" w:ascii="仿宋_GB2312" w:hAnsi="仿宋_GB2312" w:eastAsia="仿宋_GB2312" w:cs="仿宋_GB2312"/>
          <w:snapToGrid w:val="0"/>
          <w:color w:val="auto"/>
          <w:spacing w:val="3"/>
          <w:sz w:val="32"/>
          <w:szCs w:val="32"/>
          <w:highlight w:val="none"/>
        </w:rPr>
        <w:t>对</w:t>
      </w:r>
      <w:r>
        <w:rPr>
          <w:rFonts w:hint="eastAsia" w:ascii="仿宋_GB2312" w:hAnsi="仿宋_GB2312" w:eastAsia="仿宋_GB2312" w:cs="仿宋_GB2312"/>
          <w:snapToGrid w:val="0"/>
          <w:color w:val="auto"/>
          <w:spacing w:val="3"/>
          <w:sz w:val="32"/>
          <w:szCs w:val="32"/>
          <w:highlight w:val="none"/>
          <w:lang w:val="en-US" w:eastAsia="zh-CN"/>
        </w:rPr>
        <w:t>线</w:t>
      </w:r>
      <w:r>
        <w:rPr>
          <w:rFonts w:hint="eastAsia" w:ascii="仿宋_GB2312" w:hAnsi="仿宋_GB2312" w:eastAsia="仿宋_GB2312" w:cs="仿宋_GB2312"/>
          <w:snapToGrid w:val="0"/>
          <w:color w:val="auto"/>
          <w:spacing w:val="3"/>
          <w:sz w:val="32"/>
          <w:szCs w:val="32"/>
          <w:highlight w:val="none"/>
        </w:rPr>
        <w:t>路、设备进行标记，以保证</w:t>
      </w:r>
      <w:r>
        <w:rPr>
          <w:rFonts w:hint="eastAsia" w:ascii="仿宋_GB2312" w:hAnsi="仿宋_GB2312" w:eastAsia="仿宋_GB2312" w:cs="仿宋_GB2312"/>
          <w:snapToGrid w:val="0"/>
          <w:color w:val="auto"/>
          <w:spacing w:val="3"/>
          <w:sz w:val="32"/>
          <w:szCs w:val="32"/>
          <w:highlight w:val="none"/>
          <w:lang w:val="en-US" w:eastAsia="zh-CN"/>
        </w:rPr>
        <w:t>运维</w:t>
      </w:r>
      <w:r>
        <w:rPr>
          <w:rFonts w:hint="eastAsia" w:ascii="仿宋_GB2312" w:hAnsi="仿宋_GB2312" w:eastAsia="仿宋_GB2312" w:cs="仿宋_GB2312"/>
          <w:snapToGrid w:val="0"/>
          <w:color w:val="auto"/>
          <w:spacing w:val="3"/>
          <w:sz w:val="32"/>
          <w:szCs w:val="32"/>
          <w:highlight w:val="none"/>
        </w:rPr>
        <w:t>资料的准确性</w:t>
      </w:r>
      <w:r>
        <w:rPr>
          <w:rFonts w:hint="eastAsia" w:ascii="仿宋_GB2312" w:hAnsi="仿宋_GB2312" w:eastAsia="仿宋_GB2312" w:cs="仿宋_GB2312"/>
          <w:snapToGrid w:val="0"/>
          <w:color w:val="auto"/>
          <w:spacing w:val="3"/>
          <w:sz w:val="32"/>
          <w:szCs w:val="32"/>
          <w:highlight w:val="none"/>
          <w:lang w:eastAsia="zh-CN"/>
        </w:rPr>
        <w:t>；</w:t>
      </w:r>
      <w:r>
        <w:rPr>
          <w:rFonts w:hint="eastAsia" w:ascii="仿宋_GB2312" w:hAnsi="仿宋_GB2312" w:eastAsia="仿宋_GB2312" w:cs="仿宋_GB2312"/>
          <w:snapToGrid w:val="0"/>
          <w:color w:val="auto"/>
          <w:spacing w:val="3"/>
          <w:sz w:val="32"/>
          <w:szCs w:val="32"/>
          <w:highlight w:val="none"/>
        </w:rPr>
        <w:t>建立详细、完备的线路资料和网络运行</w:t>
      </w:r>
      <w:r>
        <w:rPr>
          <w:rFonts w:hint="eastAsia" w:ascii="仿宋_GB2312" w:hAnsi="仿宋_GB2312" w:eastAsia="仿宋_GB2312" w:cs="仿宋_GB2312"/>
          <w:snapToGrid w:val="0"/>
          <w:color w:val="auto"/>
          <w:spacing w:val="3"/>
          <w:sz w:val="32"/>
          <w:szCs w:val="32"/>
          <w:highlight w:val="none"/>
          <w:lang w:val="en-US" w:eastAsia="zh-CN"/>
        </w:rPr>
        <w:t>文档</w:t>
      </w:r>
      <w:r>
        <w:rPr>
          <w:rFonts w:hint="eastAsia" w:ascii="仿宋_GB2312" w:hAnsi="仿宋_GB2312" w:eastAsia="仿宋_GB2312" w:cs="仿宋_GB2312"/>
          <w:snapToGrid w:val="0"/>
          <w:color w:val="auto"/>
          <w:spacing w:val="3"/>
          <w:sz w:val="32"/>
          <w:szCs w:val="32"/>
          <w:highlight w:val="none"/>
        </w:rPr>
        <w:t>。</w:t>
      </w:r>
    </w:p>
    <w:p w14:paraId="29BAABBD">
      <w:pPr>
        <w:keepNext w:val="0"/>
        <w:keepLines w:val="0"/>
        <w:pageBreakBefore w:val="0"/>
        <w:widowControl/>
        <w:numPr>
          <w:ilvl w:val="0"/>
          <w:numId w:val="0"/>
        </w:numPr>
        <w:kinsoku w:val="0"/>
        <w:wordWrap/>
        <w:overflowPunct/>
        <w:topLinePunct w:val="0"/>
        <w:autoSpaceDE w:val="0"/>
        <w:autoSpaceDN w:val="0"/>
        <w:bidi w:val="0"/>
        <w:adjustRightInd/>
        <w:snapToGrid w:val="0"/>
        <w:spacing w:line="360" w:lineRule="auto"/>
        <w:ind w:right="0" w:rightChars="0" w:firstLine="640" w:firstLineChars="200"/>
        <w:jc w:val="both"/>
        <w:textAlignment w:val="auto"/>
        <w:outlineLvl w:val="9"/>
        <w:rPr>
          <w:rFonts w:hint="eastAsia" w:ascii="仿宋_GB2312" w:hAnsi="仿宋_GB2312" w:eastAsia="仿宋_GB2312" w:cs="仿宋_GB2312"/>
          <w:snapToGrid w:val="0"/>
          <w:color w:val="auto"/>
          <w:spacing w:val="3"/>
          <w:sz w:val="32"/>
          <w:szCs w:val="32"/>
          <w:highlight w:val="none"/>
        </w:rPr>
      </w:pPr>
      <w:r>
        <w:rPr>
          <w:rFonts w:hint="eastAsia" w:ascii="仿宋_GB2312" w:hAnsi="仿宋_GB2312" w:eastAsia="仿宋_GB2312" w:cs="仿宋_GB2312"/>
          <w:color w:val="auto"/>
          <w:sz w:val="32"/>
          <w:szCs w:val="32"/>
          <w:highlight w:val="none"/>
          <w:lang w:val="en-US" w:eastAsia="zh-CN"/>
        </w:rPr>
        <w:t>6.</w:t>
      </w:r>
      <w:r>
        <w:rPr>
          <w:rFonts w:hint="eastAsia" w:ascii="仿宋_GB2312" w:hAnsi="仿宋_GB2312" w:eastAsia="仿宋_GB2312" w:cs="仿宋_GB2312"/>
          <w:color w:val="auto"/>
          <w:sz w:val="32"/>
          <w:szCs w:val="32"/>
          <w:highlight w:val="none"/>
        </w:rPr>
        <w:t>重点保障</w:t>
      </w:r>
      <w:r>
        <w:rPr>
          <w:rFonts w:hint="eastAsia" w:ascii="仿宋_GB2312" w:hAnsi="仿宋_GB2312" w:eastAsia="仿宋_GB2312" w:cs="仿宋_GB2312"/>
          <w:color w:val="auto"/>
          <w:sz w:val="32"/>
          <w:szCs w:val="32"/>
          <w:highlight w:val="none"/>
          <w:lang w:val="en-US" w:eastAsia="zh-CN"/>
        </w:rPr>
        <w:t>时期、</w:t>
      </w:r>
      <w:r>
        <w:rPr>
          <w:rFonts w:hint="eastAsia" w:ascii="仿宋_GB2312" w:hAnsi="仿宋_GB2312" w:eastAsia="仿宋_GB2312" w:cs="仿宋_GB2312"/>
          <w:color w:val="auto"/>
          <w:sz w:val="32"/>
          <w:szCs w:val="32"/>
          <w:highlight w:val="none"/>
        </w:rPr>
        <w:t>重大活动期间及国庆、春节等国家法定节假日期间的业务连续性，</w:t>
      </w:r>
      <w:r>
        <w:rPr>
          <w:rFonts w:hint="eastAsia" w:ascii="仿宋_GB2312" w:hAnsi="仿宋_GB2312" w:eastAsia="仿宋_GB2312" w:cs="仿宋_GB2312"/>
          <w:color w:val="auto"/>
          <w:sz w:val="32"/>
          <w:szCs w:val="32"/>
          <w:highlight w:val="none"/>
          <w:lang w:val="en-US" w:eastAsia="zh-CN"/>
        </w:rPr>
        <w:t>按照北京市网络安全保障要求</w:t>
      </w:r>
      <w:r>
        <w:rPr>
          <w:rFonts w:hint="eastAsia" w:ascii="仿宋_GB2312" w:hAnsi="仿宋_GB2312" w:eastAsia="仿宋_GB2312" w:cs="仿宋_GB2312"/>
          <w:color w:val="auto"/>
          <w:sz w:val="32"/>
          <w:szCs w:val="32"/>
          <w:highlight w:val="none"/>
        </w:rPr>
        <w:t>提供7X24小时全天候技术支持响应。</w:t>
      </w:r>
    </w:p>
    <w:p w14:paraId="197D27A7">
      <w:pPr>
        <w:keepNext w:val="0"/>
        <w:keepLines w:val="0"/>
        <w:pageBreakBefore w:val="0"/>
        <w:wordWrap/>
        <w:overflowPunct/>
        <w:topLinePunct w:val="0"/>
        <w:bidi w:val="0"/>
        <w:adjustRightInd/>
        <w:spacing w:line="360" w:lineRule="auto"/>
        <w:ind w:right="0" w:rightChars="0" w:firstLine="640" w:firstLineChars="200"/>
        <w:jc w:val="both"/>
        <w:textAlignment w:val="auto"/>
        <w:outlineLvl w:val="9"/>
        <w:rPr>
          <w:rFonts w:hint="eastAsia" w:ascii="仿宋_GB2312" w:hAnsi="仿宋_GB2312" w:eastAsia="仿宋_GB2312" w:cs="仿宋_GB2312"/>
          <w:b/>
          <w:kern w:val="0"/>
          <w:sz w:val="32"/>
          <w:szCs w:val="32"/>
          <w:highlight w:val="none"/>
          <w:lang w:val="en-US" w:eastAsia="zh-CN" w:bidi="ar-SA"/>
        </w:rPr>
      </w:pPr>
      <w:r>
        <w:rPr>
          <w:rFonts w:hint="eastAsia" w:ascii="仿宋_GB2312" w:hAnsi="仿宋_GB2312" w:eastAsia="仿宋_GB2312" w:cs="仿宋_GB2312"/>
          <w:color w:val="auto"/>
          <w:sz w:val="32"/>
          <w:szCs w:val="32"/>
          <w:highlight w:val="none"/>
          <w:lang w:val="en-US" w:eastAsia="zh-CN"/>
        </w:rPr>
        <w:t>7</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eastAsia="zh-CN"/>
        </w:rPr>
        <w:t>保障</w:t>
      </w:r>
      <w:r>
        <w:rPr>
          <w:rFonts w:hint="eastAsia" w:ascii="仿宋_GB2312" w:hAnsi="仿宋_GB2312" w:eastAsia="仿宋_GB2312" w:cs="仿宋_GB2312"/>
          <w:color w:val="auto"/>
          <w:sz w:val="32"/>
          <w:szCs w:val="32"/>
          <w:highlight w:val="none"/>
          <w:lang w:val="en-US" w:eastAsia="zh-CN"/>
        </w:rPr>
        <w:t>采购人</w:t>
      </w:r>
      <w:r>
        <w:rPr>
          <w:rFonts w:hint="eastAsia" w:ascii="仿宋_GB2312" w:hAnsi="仿宋_GB2312" w:eastAsia="仿宋_GB2312" w:cs="仿宋_GB2312"/>
          <w:color w:val="auto"/>
          <w:sz w:val="32"/>
          <w:szCs w:val="32"/>
          <w:highlight w:val="none"/>
        </w:rPr>
        <w:t>访问互联网网络通讯正常率达到</w:t>
      </w:r>
      <w:r>
        <w:rPr>
          <w:rFonts w:hint="eastAsia" w:ascii="仿宋_GB2312" w:hAnsi="仿宋_GB2312" w:eastAsia="仿宋_GB2312" w:cs="仿宋_GB2312"/>
          <w:bCs/>
          <w:color w:val="auto"/>
          <w:sz w:val="32"/>
          <w:szCs w:val="32"/>
          <w:highlight w:val="none"/>
        </w:rPr>
        <w:t>99%。</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A03EC4D"/>
    <w:multiLevelType w:val="singleLevel"/>
    <w:tmpl w:val="6A03EC4D"/>
    <w:lvl w:ilvl="0" w:tentative="0">
      <w:start w:val="3"/>
      <w:numFmt w:val="decimal"/>
      <w:suff w:val="nothing"/>
      <w:lvlText w:val="%1."/>
      <w:lvlJc w:val="left"/>
    </w:lvl>
  </w:abstractNum>
  <w:abstractNum w:abstractNumId="1">
    <w:nsid w:val="6A03EDF6"/>
    <w:multiLevelType w:val="singleLevel"/>
    <w:tmpl w:val="6A03EDF6"/>
    <w:lvl w:ilvl="0" w:tentative="0">
      <w:start w:val="1"/>
      <w:numFmt w:val="decimal"/>
      <w:suff w:val="nothing"/>
      <w:lvlText w:val="%1."/>
      <w:lvlJc w:val="left"/>
    </w:lvl>
  </w:abstractNum>
  <w:abstractNum w:abstractNumId="2">
    <w:nsid w:val="6A03F464"/>
    <w:multiLevelType w:val="singleLevel"/>
    <w:tmpl w:val="6A03F464"/>
    <w:lvl w:ilvl="0" w:tentative="0">
      <w:start w:val="2"/>
      <w:numFmt w:val="chineseCounting"/>
      <w:suff w:val="nothing"/>
      <w:lvlText w:val="%1、"/>
      <w:lvlJc w:val="left"/>
    </w:lvl>
  </w:abstractNum>
  <w:abstractNum w:abstractNumId="3">
    <w:nsid w:val="6A03F478"/>
    <w:multiLevelType w:val="singleLevel"/>
    <w:tmpl w:val="6A03F478"/>
    <w:lvl w:ilvl="0" w:tentative="0">
      <w:start w:val="1"/>
      <w:numFmt w:val="decimal"/>
      <w:suff w:val="nothing"/>
      <w:lvlText w:val="%1."/>
      <w:lvlJc w:val="left"/>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F356374"/>
    <w:rsid w:val="02943FAA"/>
    <w:rsid w:val="06DF5F64"/>
    <w:rsid w:val="0D990A24"/>
    <w:rsid w:val="0EB407F4"/>
    <w:rsid w:val="0ED56823"/>
    <w:rsid w:val="10F27AEE"/>
    <w:rsid w:val="11EC6587"/>
    <w:rsid w:val="13084261"/>
    <w:rsid w:val="167D8604"/>
    <w:rsid w:val="22BB3B9C"/>
    <w:rsid w:val="30AA77F3"/>
    <w:rsid w:val="31BA281C"/>
    <w:rsid w:val="32CA30E0"/>
    <w:rsid w:val="34D73429"/>
    <w:rsid w:val="3BDF38C2"/>
    <w:rsid w:val="3CCF4AA8"/>
    <w:rsid w:val="4113258D"/>
    <w:rsid w:val="440E4F0D"/>
    <w:rsid w:val="453E321C"/>
    <w:rsid w:val="47BF9E6A"/>
    <w:rsid w:val="49303357"/>
    <w:rsid w:val="4B7D68F2"/>
    <w:rsid w:val="4F356374"/>
    <w:rsid w:val="4FEBF3D2"/>
    <w:rsid w:val="50E1662F"/>
    <w:rsid w:val="57CC2898"/>
    <w:rsid w:val="58214797"/>
    <w:rsid w:val="5B5D194B"/>
    <w:rsid w:val="5BDBC8E9"/>
    <w:rsid w:val="5C017174"/>
    <w:rsid w:val="5F6EF6B6"/>
    <w:rsid w:val="5FFFAED3"/>
    <w:rsid w:val="665F4F8E"/>
    <w:rsid w:val="67B004B8"/>
    <w:rsid w:val="6A30488D"/>
    <w:rsid w:val="6A317A2B"/>
    <w:rsid w:val="6B7D89EB"/>
    <w:rsid w:val="6C160045"/>
    <w:rsid w:val="6FF570E3"/>
    <w:rsid w:val="736A5A52"/>
    <w:rsid w:val="74FF9E97"/>
    <w:rsid w:val="75E9BDC1"/>
    <w:rsid w:val="7BFFA31C"/>
    <w:rsid w:val="7DB5764E"/>
    <w:rsid w:val="7E7465B0"/>
    <w:rsid w:val="7F9F6DE9"/>
    <w:rsid w:val="AFF70760"/>
    <w:rsid w:val="DFFF093D"/>
    <w:rsid w:val="EAA3A2E9"/>
    <w:rsid w:val="FC77F8CD"/>
    <w:rsid w:val="FFDB38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9702</Words>
  <Characters>10032</Characters>
  <Lines>0</Lines>
  <Paragraphs>0</Paragraphs>
  <TotalTime>4</TotalTime>
  <ScaleCrop>false</ScaleCrop>
  <LinksUpToDate>false</LinksUpToDate>
  <CharactersWithSpaces>10057</CharactersWithSpaces>
  <Application>WPS Office_12.8.2.20327_F1E327BC-269C-435d-A152-05C5408002CA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2026-05-07T22:46:00Z</dcterms:created>
  <dc:creator>栋</dc:creator>
  <cp:lastModifiedBy>user</cp:lastModifiedBy>
  <dcterms:modified xsi:type="dcterms:W3CDTF">2026-05-13T15:52:08Z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2052-12.8.2.20327</vt:lpwstr>
  </property>
  <property fmtid="{D5CDD505-2E9C-101B-9397-08002B2CF9AE}" pid="3" name="ICV">
    <vt:lpwstr>CEDFD2D0244948B1868A762A00F9230C_11</vt:lpwstr>
  </property>
  <property fmtid="{D5CDD505-2E9C-101B-9397-08002B2CF9AE}" pid="4" name="KSOTemplateDocerSaveRecord">
    <vt:lpwstr>eyJoZGlkIjoiOTU5MTdjOGU3ZmY4YzIwMmE0NTgwNDBkMTdmMjJiYTUiLCJ1c2VySWQiOiI0NTA3NDAzODYifQ==</vt:lpwstr>
  </property>
</Properties>
</file>